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CDE9" w14:textId="77777777" w:rsidR="007E0758" w:rsidRDefault="00076EDC">
      <w:pPr>
        <w:pStyle w:val="Leipteksti"/>
        <w:spacing w:before="83" w:line="256" w:lineRule="auto"/>
        <w:ind w:right="5104"/>
      </w:pPr>
      <w:r>
        <w:t>Education and Culture Board 7 April 2021 Attachment 1</w:t>
      </w:r>
    </w:p>
    <w:p w14:paraId="6241633F" w14:textId="77777777" w:rsidR="007E0758" w:rsidRDefault="007E0758">
      <w:pPr>
        <w:pStyle w:val="Leipteksti"/>
        <w:spacing w:before="1"/>
        <w:ind w:left="0"/>
        <w:rPr>
          <w:sz w:val="24"/>
        </w:rPr>
      </w:pPr>
    </w:p>
    <w:p w14:paraId="01894E9E" w14:textId="77777777" w:rsidR="007E0758" w:rsidRDefault="00076EDC">
      <w:pPr>
        <w:pStyle w:val="Otsikko1"/>
        <w:spacing w:line="261" w:lineRule="auto"/>
        <w:jc w:val="left"/>
      </w:pPr>
      <w:r>
        <w:t>Principles regarding reduction or non-collection of the client fee for afternoon activities in Kirkkonummi</w:t>
      </w:r>
    </w:p>
    <w:p w14:paraId="0B99B800" w14:textId="77777777" w:rsidR="007E0758" w:rsidRDefault="00076EDC">
      <w:pPr>
        <w:pStyle w:val="Leipteksti"/>
        <w:spacing w:before="154" w:line="261" w:lineRule="auto"/>
      </w:pPr>
      <w:r>
        <w:t>The client fees charged for the afternoon activities in basic education are decided by the board in question.</w:t>
      </w:r>
    </w:p>
    <w:p w14:paraId="23349F1C" w14:textId="77777777" w:rsidR="007E0758" w:rsidRDefault="00076EDC">
      <w:pPr>
        <w:pStyle w:val="Leipteksti"/>
        <w:spacing w:before="154" w:line="259" w:lineRule="auto"/>
        <w:ind w:right="111"/>
        <w:jc w:val="both"/>
      </w:pPr>
      <w:r>
        <w:t>Applications for non-collection or redu</w:t>
      </w:r>
      <w:r>
        <w:t>ction of the client fee can be submitted in writing when the child has been granted a place in afternoon activities. Relevant certificates must be attached. The decision is valid for a specified time period, at most for one operating year at a time. If the</w:t>
      </w:r>
      <w:r>
        <w:t xml:space="preserve"> family’s income or size change after the decision has been made, please inform the Registry. The changes in income will take effect at the earliest from the beginning of the calendar month when the information has been received. If a decision on the non-c</w:t>
      </w:r>
      <w:r>
        <w:t xml:space="preserve">ollection or reduction of a client fee has been made based on incorrect information provided, the unpaid fees can be collected retroactively.  A separate application must be done to each child, who has a place in afternoon activities and lives in the same </w:t>
      </w:r>
      <w:r>
        <w:t>family.</w:t>
      </w:r>
    </w:p>
    <w:p w14:paraId="34C8C29C" w14:textId="77777777" w:rsidR="007E0758" w:rsidRDefault="00076EDC">
      <w:pPr>
        <w:pStyle w:val="Otsikko1"/>
        <w:spacing w:before="161" w:line="256" w:lineRule="auto"/>
        <w:ind w:right="113"/>
      </w:pPr>
      <w:r>
        <w:t>The application with attachments must submitted to the municipality the last day of the month at the latest to ensure a decision on non-collection or reduction of the client fee from the beginning of the ongoing month.</w:t>
      </w:r>
    </w:p>
    <w:p w14:paraId="14DEBD2B" w14:textId="77777777" w:rsidR="007E0758" w:rsidRDefault="00076EDC">
      <w:pPr>
        <w:spacing w:before="165"/>
        <w:ind w:left="100"/>
        <w:jc w:val="both"/>
        <w:rPr>
          <w:b/>
        </w:rPr>
      </w:pPr>
      <w:r>
        <w:rPr>
          <w:b/>
        </w:rPr>
        <w:t>Relief limits for the fee for</w:t>
      </w:r>
      <w:r>
        <w:rPr>
          <w:b/>
        </w:rPr>
        <w:t xml:space="preserve"> afternoon activities in basic education from 1 August 2021</w:t>
      </w:r>
    </w:p>
    <w:p w14:paraId="400BD853" w14:textId="77777777" w:rsidR="007E0758" w:rsidRDefault="007E0758">
      <w:pPr>
        <w:pStyle w:val="Leipteksti"/>
        <w:spacing w:before="10"/>
        <w:ind w:left="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2755"/>
        <w:gridCol w:w="3163"/>
      </w:tblGrid>
      <w:tr w:rsidR="007E0758" w14:paraId="1169AAED" w14:textId="77777777">
        <w:trPr>
          <w:trHeight w:val="537"/>
        </w:trPr>
        <w:tc>
          <w:tcPr>
            <w:tcW w:w="1646" w:type="dxa"/>
          </w:tcPr>
          <w:p w14:paraId="2176C51A" w14:textId="77777777" w:rsidR="007E0758" w:rsidRDefault="00076EDC">
            <w:pPr>
              <w:pStyle w:val="TableParagraph"/>
              <w:spacing w:line="240" w:lineRule="auto"/>
            </w:pPr>
            <w:r>
              <w:t>Family size</w:t>
            </w:r>
          </w:p>
        </w:tc>
        <w:tc>
          <w:tcPr>
            <w:tcW w:w="2755" w:type="dxa"/>
          </w:tcPr>
          <w:p w14:paraId="6474499D" w14:textId="77777777" w:rsidR="007E0758" w:rsidRDefault="00076EDC">
            <w:pPr>
              <w:pStyle w:val="TableParagraph"/>
              <w:spacing w:before="0" w:line="270" w:lineRule="atLeast"/>
              <w:ind w:right="333"/>
            </w:pPr>
            <w:r>
              <w:t>Gross income limit for non-collection of the client fee</w:t>
            </w:r>
          </w:p>
        </w:tc>
        <w:tc>
          <w:tcPr>
            <w:tcW w:w="3163" w:type="dxa"/>
          </w:tcPr>
          <w:p w14:paraId="5C38FDB3" w14:textId="77777777" w:rsidR="007E0758" w:rsidRDefault="00076EDC">
            <w:pPr>
              <w:pStyle w:val="TableParagraph"/>
              <w:spacing w:before="0" w:line="270" w:lineRule="atLeast"/>
              <w:ind w:left="106"/>
            </w:pPr>
            <w:r>
              <w:t>Gross income limit for reduction (-50 %) of the client fee</w:t>
            </w:r>
          </w:p>
        </w:tc>
      </w:tr>
      <w:tr w:rsidR="007E0758" w14:paraId="142061A1" w14:textId="77777777">
        <w:trPr>
          <w:trHeight w:val="265"/>
        </w:trPr>
        <w:tc>
          <w:tcPr>
            <w:tcW w:w="1646" w:type="dxa"/>
          </w:tcPr>
          <w:p w14:paraId="1DCEF2FB" w14:textId="77777777" w:rsidR="007E0758" w:rsidRDefault="00076EDC">
            <w:pPr>
              <w:pStyle w:val="TableParagraph"/>
              <w:spacing w:before="0" w:line="246" w:lineRule="exact"/>
            </w:pPr>
            <w:r>
              <w:t>2</w:t>
            </w:r>
          </w:p>
        </w:tc>
        <w:tc>
          <w:tcPr>
            <w:tcW w:w="2755" w:type="dxa"/>
          </w:tcPr>
          <w:p w14:paraId="274C5975" w14:textId="77777777" w:rsidR="007E0758" w:rsidRDefault="00076EDC">
            <w:pPr>
              <w:pStyle w:val="TableParagraph"/>
              <w:spacing w:before="0" w:line="246" w:lineRule="exact"/>
            </w:pPr>
            <w:r>
              <w:t>2136</w:t>
            </w:r>
          </w:p>
        </w:tc>
        <w:tc>
          <w:tcPr>
            <w:tcW w:w="3163" w:type="dxa"/>
          </w:tcPr>
          <w:p w14:paraId="3710A1EA" w14:textId="77777777" w:rsidR="007E0758" w:rsidRDefault="00076EDC">
            <w:pPr>
              <w:pStyle w:val="TableParagraph"/>
              <w:spacing w:before="0" w:line="246" w:lineRule="exact"/>
              <w:ind w:left="106"/>
            </w:pPr>
            <w:r>
              <w:t>2771</w:t>
            </w:r>
          </w:p>
        </w:tc>
      </w:tr>
      <w:tr w:rsidR="007E0758" w14:paraId="320B923C" w14:textId="77777777">
        <w:trPr>
          <w:trHeight w:val="268"/>
        </w:trPr>
        <w:tc>
          <w:tcPr>
            <w:tcW w:w="1646" w:type="dxa"/>
          </w:tcPr>
          <w:p w14:paraId="394E2C3D" w14:textId="77777777" w:rsidR="007E0758" w:rsidRDefault="00076EDC">
            <w:pPr>
              <w:pStyle w:val="TableParagraph"/>
            </w:pPr>
            <w:r>
              <w:t>3</w:t>
            </w:r>
          </w:p>
        </w:tc>
        <w:tc>
          <w:tcPr>
            <w:tcW w:w="2755" w:type="dxa"/>
          </w:tcPr>
          <w:p w14:paraId="0703F655" w14:textId="77777777" w:rsidR="007E0758" w:rsidRDefault="00076EDC">
            <w:pPr>
              <w:pStyle w:val="TableParagraph"/>
            </w:pPr>
            <w:r>
              <w:t>2756</w:t>
            </w:r>
          </w:p>
        </w:tc>
        <w:tc>
          <w:tcPr>
            <w:tcW w:w="3163" w:type="dxa"/>
          </w:tcPr>
          <w:p w14:paraId="3E0DCA02" w14:textId="77777777" w:rsidR="007E0758" w:rsidRDefault="00076EDC">
            <w:pPr>
              <w:pStyle w:val="TableParagraph"/>
              <w:ind w:left="106"/>
            </w:pPr>
            <w:r>
              <w:t>3404</w:t>
            </w:r>
          </w:p>
        </w:tc>
      </w:tr>
      <w:tr w:rsidR="007E0758" w14:paraId="695DB64A" w14:textId="77777777">
        <w:trPr>
          <w:trHeight w:val="268"/>
        </w:trPr>
        <w:tc>
          <w:tcPr>
            <w:tcW w:w="1646" w:type="dxa"/>
          </w:tcPr>
          <w:p w14:paraId="00F5C3AB" w14:textId="77777777" w:rsidR="007E0758" w:rsidRDefault="00076EDC">
            <w:pPr>
              <w:pStyle w:val="TableParagraph"/>
            </w:pPr>
            <w:r>
              <w:t>4</w:t>
            </w:r>
          </w:p>
        </w:tc>
        <w:tc>
          <w:tcPr>
            <w:tcW w:w="2755" w:type="dxa"/>
          </w:tcPr>
          <w:p w14:paraId="6F602F9D" w14:textId="77777777" w:rsidR="007E0758" w:rsidRDefault="00076EDC">
            <w:pPr>
              <w:pStyle w:val="TableParagraph"/>
            </w:pPr>
            <w:r>
              <w:t>3129</w:t>
            </w:r>
          </w:p>
        </w:tc>
        <w:tc>
          <w:tcPr>
            <w:tcW w:w="3163" w:type="dxa"/>
          </w:tcPr>
          <w:p w14:paraId="580F9897" w14:textId="77777777" w:rsidR="007E0758" w:rsidRDefault="00076EDC">
            <w:pPr>
              <w:pStyle w:val="TableParagraph"/>
              <w:ind w:left="106"/>
            </w:pPr>
            <w:r>
              <w:t>4046</w:t>
            </w:r>
          </w:p>
        </w:tc>
      </w:tr>
      <w:tr w:rsidR="007E0758" w14:paraId="762131BA" w14:textId="77777777">
        <w:trPr>
          <w:trHeight w:val="268"/>
        </w:trPr>
        <w:tc>
          <w:tcPr>
            <w:tcW w:w="1646" w:type="dxa"/>
          </w:tcPr>
          <w:p w14:paraId="4B272221" w14:textId="77777777" w:rsidR="007E0758" w:rsidRDefault="00076EDC">
            <w:pPr>
              <w:pStyle w:val="TableParagraph"/>
            </w:pPr>
            <w:r>
              <w:t>5</w:t>
            </w:r>
          </w:p>
        </w:tc>
        <w:tc>
          <w:tcPr>
            <w:tcW w:w="2755" w:type="dxa"/>
          </w:tcPr>
          <w:p w14:paraId="37551F62" w14:textId="77777777" w:rsidR="007E0758" w:rsidRDefault="00076EDC">
            <w:pPr>
              <w:pStyle w:val="TableParagraph"/>
            </w:pPr>
            <w:r>
              <w:t>3502</w:t>
            </w:r>
          </w:p>
        </w:tc>
        <w:tc>
          <w:tcPr>
            <w:tcW w:w="3163" w:type="dxa"/>
          </w:tcPr>
          <w:p w14:paraId="57A1D2CF" w14:textId="77777777" w:rsidR="007E0758" w:rsidRDefault="00076EDC">
            <w:pPr>
              <w:pStyle w:val="TableParagraph"/>
              <w:ind w:left="106"/>
            </w:pPr>
            <w:r>
              <w:t>4188</w:t>
            </w:r>
          </w:p>
        </w:tc>
      </w:tr>
      <w:tr w:rsidR="007E0758" w14:paraId="5C9B2051" w14:textId="77777777">
        <w:trPr>
          <w:trHeight w:val="268"/>
        </w:trPr>
        <w:tc>
          <w:tcPr>
            <w:tcW w:w="1646" w:type="dxa"/>
          </w:tcPr>
          <w:p w14:paraId="727DA74D" w14:textId="77777777" w:rsidR="007E0758" w:rsidRDefault="00076EDC">
            <w:pPr>
              <w:pStyle w:val="TableParagraph"/>
            </w:pPr>
            <w:r>
              <w:t>6</w:t>
            </w:r>
          </w:p>
        </w:tc>
        <w:tc>
          <w:tcPr>
            <w:tcW w:w="2755" w:type="dxa"/>
          </w:tcPr>
          <w:p w14:paraId="59882331" w14:textId="77777777" w:rsidR="007E0758" w:rsidRDefault="00076EDC">
            <w:pPr>
              <w:pStyle w:val="TableParagraph"/>
            </w:pPr>
            <w:r>
              <w:t>3874</w:t>
            </w:r>
          </w:p>
        </w:tc>
        <w:tc>
          <w:tcPr>
            <w:tcW w:w="3163" w:type="dxa"/>
          </w:tcPr>
          <w:p w14:paraId="56BAF022" w14:textId="77777777" w:rsidR="007E0758" w:rsidRDefault="00076EDC">
            <w:pPr>
              <w:pStyle w:val="TableParagraph"/>
              <w:ind w:left="106"/>
            </w:pPr>
            <w:r>
              <w:t>4330</w:t>
            </w:r>
          </w:p>
        </w:tc>
      </w:tr>
    </w:tbl>
    <w:p w14:paraId="4633A6B5" w14:textId="77777777" w:rsidR="007E0758" w:rsidRDefault="00076EDC">
      <w:pPr>
        <w:pStyle w:val="Leipteksti"/>
        <w:spacing w:before="3" w:line="256" w:lineRule="auto"/>
        <w:ind w:right="356"/>
      </w:pPr>
      <w:r>
        <w:t>If the family’s size is larger than six, the income limit increase for the following children is 144 euros (children under the age of 18).</w:t>
      </w:r>
    </w:p>
    <w:p w14:paraId="468F3B14" w14:textId="77777777" w:rsidR="007E0758" w:rsidRDefault="00076EDC">
      <w:pPr>
        <w:pStyle w:val="Leipteksti"/>
        <w:spacing w:before="165" w:line="259" w:lineRule="auto"/>
        <w:ind w:right="115"/>
        <w:jc w:val="both"/>
      </w:pPr>
      <w:r>
        <w:rPr>
          <w:b/>
        </w:rPr>
        <w:t>When the family size is determined</w:t>
      </w:r>
      <w:r>
        <w:t>, married or common-law couples living in the same household, as well as the minor children of both partners living with them in the same household, are taken into account. If necessary, the information will be checked at the population register.</w:t>
      </w:r>
    </w:p>
    <w:p w14:paraId="7FDA597C" w14:textId="77777777" w:rsidR="007E0758" w:rsidRDefault="00076EDC">
      <w:pPr>
        <w:pStyle w:val="Leipteksti"/>
        <w:spacing w:before="162" w:line="256" w:lineRule="auto"/>
      </w:pPr>
      <w:r>
        <w:t>If the ch</w:t>
      </w:r>
      <w:r>
        <w:t>ild’s guardians live at different addresses, the fee is determined based on the income of the family where the child resides according to the population register.</w:t>
      </w:r>
    </w:p>
    <w:p w14:paraId="76A7E779" w14:textId="3F51EA7A" w:rsidR="007E0758" w:rsidRDefault="00076EDC">
      <w:pPr>
        <w:pStyle w:val="Leipteksti"/>
        <w:spacing w:before="164" w:line="259" w:lineRule="auto"/>
      </w:pPr>
      <w:r>
        <w:t>Decisions concerning the non-collection or reduction of basic education afternoon activities'</w:t>
      </w:r>
      <w:r>
        <w:t xml:space="preserve"> client fees will be made </w:t>
      </w:r>
      <w:r>
        <w:rPr>
          <w:b/>
        </w:rPr>
        <w:t>taking into account as income</w:t>
      </w:r>
      <w:r>
        <w:t xml:space="preserve"> all earned income and income from capital that is liable to taxation as well as the tax-exempt income of the child, parent or other guardian and their spouse or other person living in a relationship r</w:t>
      </w:r>
      <w:r>
        <w:t xml:space="preserve">esembling a marriage in the same household. </w:t>
      </w:r>
      <w:r>
        <w:rPr>
          <w:color w:val="4471C4"/>
        </w:rPr>
        <w:t xml:space="preserve"> </w:t>
      </w:r>
      <w:r>
        <w:t xml:space="preserve"> A holiday bonus of 5% will be added to the amount reported as earned monthly income.  If monthly income varies, the average monthly income for the ongoing year, or if necessary,</w:t>
      </w:r>
      <w:r>
        <w:t xml:space="preserve"> the average for the previous year</w:t>
      </w:r>
      <w:r>
        <w:t>, is taken into account as the monthly income.</w:t>
      </w:r>
    </w:p>
    <w:p w14:paraId="4BBEEB00" w14:textId="5166C4DB" w:rsidR="007E0758" w:rsidRDefault="00076EDC" w:rsidP="00076EDC">
      <w:pPr>
        <w:pStyle w:val="Leipteksti"/>
        <w:spacing w:before="156" w:line="259" w:lineRule="auto"/>
      </w:pPr>
      <w:r>
        <w:rPr>
          <w:b/>
        </w:rPr>
        <w:t>The following will not be taken into account as income:</w:t>
      </w:r>
      <w:r>
        <w:t xml:space="preserve"> child home care</w:t>
      </w:r>
      <w:r>
        <w:cr/>
      </w:r>
      <w:r>
        <w:br/>
        <w:t>allowance, child benefit, benefit according to the Disability Benefits Act (570/2007), child increase according to the National Pensions</w:t>
      </w:r>
      <w:r>
        <w:t xml:space="preserve"> Act (568/2007), housing allowance, study grant, adult education subsidy, housing supplement for students or activity pay and reimbursement for travel costs paid in </w:t>
      </w:r>
      <w:r>
        <w:lastRenderedPageBreak/>
        <w:t>the form of income support, medical examination and treatment costs based on an accident in</w:t>
      </w:r>
      <w:r>
        <w:t xml:space="preserve">surance, </w:t>
      </w:r>
      <w:r>
        <w:t>c</w:t>
      </w:r>
      <w:r>
        <w:t>onscript’s allowance, front-veteran’s supplement, maintenance allowance according to the Act on the Rehabilitation Benefits and Rehabilitation Allowance Granted by the Social Insurance Institution (566/2005), maintenance allowan</w:t>
      </w:r>
      <w:r>
        <w:t>ce according to the Act on Public Employment and Business Service (916/2012), scholarships and other corresponding financial grants for studying, or reimbursement for costs of foster care.</w:t>
      </w:r>
    </w:p>
    <w:p w14:paraId="764A3697" w14:textId="77777777" w:rsidR="007E0758" w:rsidRDefault="00076EDC">
      <w:pPr>
        <w:pStyle w:val="Leipteksti"/>
        <w:spacing w:before="160" w:line="403" w:lineRule="auto"/>
      </w:pPr>
      <w:r>
        <w:t>Income deductions can be made based on the child alimony paid to ch</w:t>
      </w:r>
      <w:r>
        <w:t>ildren outside the family. Attach copies of the following documents to the application:</w:t>
      </w:r>
    </w:p>
    <w:p w14:paraId="181D25A9" w14:textId="77777777" w:rsidR="007E0758" w:rsidRDefault="00076EDC">
      <w:pPr>
        <w:pStyle w:val="Luettelokappale"/>
        <w:numPr>
          <w:ilvl w:val="0"/>
          <w:numId w:val="1"/>
        </w:numPr>
        <w:tabs>
          <w:tab w:val="left" w:pos="819"/>
          <w:tab w:val="left" w:pos="820"/>
        </w:tabs>
        <w:spacing w:line="259" w:lineRule="auto"/>
        <w:ind w:right="463"/>
      </w:pPr>
      <w:r>
        <w:t>Salary information: the employer’s most recent pay slip showing your taxable earned income per month, income accrual from of the ongoing and previous year and holiday b</w:t>
      </w:r>
      <w:r>
        <w:t>onus amount. If your employer does not pay a holiday bonus you must submit a certificate of this from your employer.</w:t>
      </w:r>
    </w:p>
    <w:p w14:paraId="313A7FF7" w14:textId="77777777" w:rsidR="007E0758" w:rsidRDefault="00076EDC">
      <w:pPr>
        <w:pStyle w:val="Luettelokappale"/>
        <w:numPr>
          <w:ilvl w:val="0"/>
          <w:numId w:val="1"/>
        </w:numPr>
        <w:tabs>
          <w:tab w:val="left" w:pos="819"/>
          <w:tab w:val="left" w:pos="820"/>
        </w:tabs>
        <w:spacing w:line="259" w:lineRule="auto"/>
        <w:ind w:right="284"/>
      </w:pPr>
      <w:r>
        <w:t>Entrepreneurs: (Oy’s shareholder (limited company): attach a pay slip and an account of benefits in kind and dividends, Tmi (business name)</w:t>
      </w:r>
      <w:r>
        <w:t>: attach income statement and balance sheet, Ay partnership), Ky (limited partnership): attach income statement and balance sheet, an account of pay and benefits in kind)</w:t>
      </w:r>
    </w:p>
    <w:p w14:paraId="2C4BE9B8" w14:textId="0F7BCE4E" w:rsidR="007E0758" w:rsidRDefault="00076EDC">
      <w:pPr>
        <w:pStyle w:val="Luettelokappale"/>
        <w:numPr>
          <w:ilvl w:val="0"/>
          <w:numId w:val="1"/>
        </w:numPr>
        <w:tabs>
          <w:tab w:val="left" w:pos="819"/>
          <w:tab w:val="left" w:pos="820"/>
        </w:tabs>
        <w:spacing w:line="259" w:lineRule="auto"/>
        <w:ind w:right="543"/>
      </w:pPr>
      <w:r>
        <w:t>Benefits from Kela (Social Insurance Institution of Finland) etc.: unemployment benef</w:t>
      </w:r>
      <w:r>
        <w:t xml:space="preserve">it, students will attach a certificate of student status and a decision of social benefits for students, maternity, paternity or parental allowance, home care allowance, flexible or partial care allowance, </w:t>
      </w:r>
      <w:r>
        <w:t xml:space="preserve">sickness allowance, child maintenance allowance, </w:t>
      </w:r>
      <w:r>
        <w:t>rehabilitation allowance, pensions, also payable to children, compensation for job alternation leave.</w:t>
      </w:r>
    </w:p>
    <w:p w14:paraId="7751FA27" w14:textId="77777777" w:rsidR="007E0758" w:rsidRDefault="00076EDC">
      <w:pPr>
        <w:pStyle w:val="Luettelokappale"/>
        <w:numPr>
          <w:ilvl w:val="0"/>
          <w:numId w:val="1"/>
        </w:numPr>
        <w:tabs>
          <w:tab w:val="left" w:pos="819"/>
          <w:tab w:val="left" w:pos="820"/>
        </w:tabs>
        <w:spacing w:line="259" w:lineRule="auto"/>
        <w:ind w:right="191"/>
      </w:pPr>
      <w:r>
        <w:t xml:space="preserve">Other benefits: earnings-related daily allowance, child maintenance allowance, pensions, adult education allowance, capital income (income from interest, </w:t>
      </w:r>
      <w:r>
        <w:t>options, dividends and rent), caregiver assistance, compensation for job alternation leave paid by the union, other individual income (for example meeting attendance allowance, benefits in kind), compensation and daily allowances paid based on accident ins</w:t>
      </w:r>
      <w:r>
        <w:t>urance.</w:t>
      </w:r>
    </w:p>
    <w:p w14:paraId="1EF6A0DB" w14:textId="77777777" w:rsidR="007E0758" w:rsidRDefault="00076EDC">
      <w:pPr>
        <w:pStyle w:val="Luettelokappale"/>
        <w:numPr>
          <w:ilvl w:val="0"/>
          <w:numId w:val="1"/>
        </w:numPr>
        <w:tabs>
          <w:tab w:val="left" w:pos="819"/>
          <w:tab w:val="left" w:pos="820"/>
        </w:tabs>
      </w:pPr>
      <w:r>
        <w:t>Deductions: child alimony paid (copy of the payment document)</w:t>
      </w:r>
    </w:p>
    <w:p w14:paraId="7685C09B" w14:textId="77777777" w:rsidR="007E0758" w:rsidRDefault="007E0758">
      <w:pPr>
        <w:pStyle w:val="Leipteksti"/>
        <w:ind w:left="0"/>
        <w:rPr>
          <w:sz w:val="26"/>
        </w:rPr>
      </w:pPr>
    </w:p>
    <w:p w14:paraId="043AEC5A" w14:textId="77777777" w:rsidR="007E0758" w:rsidRDefault="007E0758">
      <w:pPr>
        <w:pStyle w:val="Leipteksti"/>
        <w:spacing w:before="2"/>
        <w:ind w:left="0"/>
        <w:rPr>
          <w:sz w:val="25"/>
        </w:rPr>
      </w:pPr>
    </w:p>
    <w:p w14:paraId="6389FDDA" w14:textId="77777777" w:rsidR="007E0758" w:rsidRDefault="00076EDC">
      <w:pPr>
        <w:pStyle w:val="Leipteksti"/>
      </w:pPr>
      <w:r>
        <w:t>The decision-maker has the right to check the income information from different authorities.</w:t>
      </w:r>
    </w:p>
    <w:p w14:paraId="3FDC8723" w14:textId="77777777" w:rsidR="007E0758" w:rsidRDefault="00076EDC">
      <w:pPr>
        <w:pStyle w:val="Leipteksti"/>
        <w:spacing w:before="183" w:line="256" w:lineRule="auto"/>
      </w:pPr>
      <w:r>
        <w:t>The handling of applications sent with insufficient information will be delayed, since the applicants will be asked for further clarification.</w:t>
      </w:r>
    </w:p>
    <w:p w14:paraId="0A39159F" w14:textId="77777777" w:rsidR="007E0758" w:rsidRDefault="00076EDC">
      <w:pPr>
        <w:pStyle w:val="Leipteksti"/>
        <w:spacing w:before="164" w:line="256" w:lineRule="auto"/>
        <w:ind w:right="356"/>
      </w:pPr>
      <w:r>
        <w:t>Send the application incl. attachments to: Municipality of Kirkkonummi, registry, PO Box 20, 02401 Kirkkonummi.</w:t>
      </w:r>
    </w:p>
    <w:p w14:paraId="4AFF2850" w14:textId="77777777" w:rsidR="007E0758" w:rsidRDefault="00076EDC">
      <w:pPr>
        <w:pStyle w:val="Leipteksti"/>
        <w:spacing w:before="164"/>
      </w:pPr>
      <w:r>
        <w:t>Y</w:t>
      </w:r>
      <w:r>
        <w:t>ou can also choose an electronic form.</w:t>
      </w:r>
    </w:p>
    <w:p w14:paraId="39BA5DB4" w14:textId="77777777" w:rsidR="007E0758" w:rsidRDefault="007E0758">
      <w:pPr>
        <w:pStyle w:val="Leipteksti"/>
        <w:ind w:left="0"/>
        <w:rPr>
          <w:sz w:val="26"/>
        </w:rPr>
      </w:pPr>
    </w:p>
    <w:p w14:paraId="3DA997A9" w14:textId="77777777" w:rsidR="007E0758" w:rsidRDefault="007E0758">
      <w:pPr>
        <w:pStyle w:val="Leipteksti"/>
        <w:spacing w:before="7"/>
        <w:ind w:left="0"/>
        <w:rPr>
          <w:sz w:val="25"/>
        </w:rPr>
      </w:pPr>
    </w:p>
    <w:p w14:paraId="2E2BFCFF" w14:textId="77777777" w:rsidR="007E0758" w:rsidRDefault="00076EDC">
      <w:pPr>
        <w:pStyle w:val="Leipteksti"/>
      </w:pPr>
      <w:r>
        <w:t>These principles for fee reduction also apply to the morning activities for pupils.</w:t>
      </w:r>
    </w:p>
    <w:sectPr w:rsidR="007E0758">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64D59"/>
    <w:multiLevelType w:val="hybridMultilevel"/>
    <w:tmpl w:val="1B46D76C"/>
    <w:lvl w:ilvl="0" w:tplc="D45EAAF4">
      <w:numFmt w:val="bullet"/>
      <w:lvlText w:val="-"/>
      <w:lvlJc w:val="left"/>
      <w:pPr>
        <w:ind w:left="820" w:hanging="360"/>
      </w:pPr>
      <w:rPr>
        <w:rFonts w:ascii="Calibri" w:eastAsia="Calibri" w:hAnsi="Calibri" w:cs="Calibri" w:hint="default"/>
        <w:b w:val="0"/>
        <w:bCs w:val="0"/>
        <w:i w:val="0"/>
        <w:iCs w:val="0"/>
        <w:w w:val="100"/>
        <w:sz w:val="22"/>
        <w:szCs w:val="22"/>
        <w:lang w:val="fi-FI" w:eastAsia="en-US" w:bidi="ar-SA"/>
      </w:rPr>
    </w:lvl>
    <w:lvl w:ilvl="1" w:tplc="D6C290D4">
      <w:numFmt w:val="bullet"/>
      <w:lvlText w:val="•"/>
      <w:lvlJc w:val="left"/>
      <w:pPr>
        <w:ind w:left="1662" w:hanging="360"/>
      </w:pPr>
      <w:rPr>
        <w:rFonts w:hint="default"/>
        <w:lang w:val="fi-FI" w:eastAsia="en-US" w:bidi="ar-SA"/>
      </w:rPr>
    </w:lvl>
    <w:lvl w:ilvl="2" w:tplc="9EA0E494">
      <w:numFmt w:val="bullet"/>
      <w:lvlText w:val="•"/>
      <w:lvlJc w:val="left"/>
      <w:pPr>
        <w:ind w:left="2504" w:hanging="360"/>
      </w:pPr>
      <w:rPr>
        <w:rFonts w:hint="default"/>
        <w:lang w:val="fi-FI" w:eastAsia="en-US" w:bidi="ar-SA"/>
      </w:rPr>
    </w:lvl>
    <w:lvl w:ilvl="3" w:tplc="B93A817E">
      <w:numFmt w:val="bullet"/>
      <w:lvlText w:val="•"/>
      <w:lvlJc w:val="left"/>
      <w:pPr>
        <w:ind w:left="3347" w:hanging="360"/>
      </w:pPr>
      <w:rPr>
        <w:rFonts w:hint="default"/>
        <w:lang w:val="fi-FI" w:eastAsia="en-US" w:bidi="ar-SA"/>
      </w:rPr>
    </w:lvl>
    <w:lvl w:ilvl="4" w:tplc="45B0D5F4">
      <w:numFmt w:val="bullet"/>
      <w:lvlText w:val="•"/>
      <w:lvlJc w:val="left"/>
      <w:pPr>
        <w:ind w:left="4189" w:hanging="360"/>
      </w:pPr>
      <w:rPr>
        <w:rFonts w:hint="default"/>
        <w:lang w:val="fi-FI" w:eastAsia="en-US" w:bidi="ar-SA"/>
      </w:rPr>
    </w:lvl>
    <w:lvl w:ilvl="5" w:tplc="ACFCC366">
      <w:numFmt w:val="bullet"/>
      <w:lvlText w:val="•"/>
      <w:lvlJc w:val="left"/>
      <w:pPr>
        <w:ind w:left="5032" w:hanging="360"/>
      </w:pPr>
      <w:rPr>
        <w:rFonts w:hint="default"/>
        <w:lang w:val="fi-FI" w:eastAsia="en-US" w:bidi="ar-SA"/>
      </w:rPr>
    </w:lvl>
    <w:lvl w:ilvl="6" w:tplc="D3E8FBCC">
      <w:numFmt w:val="bullet"/>
      <w:lvlText w:val="•"/>
      <w:lvlJc w:val="left"/>
      <w:pPr>
        <w:ind w:left="5874" w:hanging="360"/>
      </w:pPr>
      <w:rPr>
        <w:rFonts w:hint="default"/>
        <w:lang w:val="fi-FI" w:eastAsia="en-US" w:bidi="ar-SA"/>
      </w:rPr>
    </w:lvl>
    <w:lvl w:ilvl="7" w:tplc="4A5065AE">
      <w:numFmt w:val="bullet"/>
      <w:lvlText w:val="•"/>
      <w:lvlJc w:val="left"/>
      <w:pPr>
        <w:ind w:left="6716" w:hanging="360"/>
      </w:pPr>
      <w:rPr>
        <w:rFonts w:hint="default"/>
        <w:lang w:val="fi-FI" w:eastAsia="en-US" w:bidi="ar-SA"/>
      </w:rPr>
    </w:lvl>
    <w:lvl w:ilvl="8" w:tplc="5B4E5AF2">
      <w:numFmt w:val="bullet"/>
      <w:lvlText w:val="•"/>
      <w:lvlJc w:val="left"/>
      <w:pPr>
        <w:ind w:left="7559" w:hanging="360"/>
      </w:pPr>
      <w:rPr>
        <w:rFonts w:hint="default"/>
        <w:lang w:val="fi-FI" w:eastAsia="en-US" w:bidi="ar-SA"/>
      </w:rPr>
    </w:lvl>
  </w:abstractNum>
  <w:num w:numId="1" w16cid:durableId="154868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E0758"/>
    <w:rsid w:val="00076EDC"/>
    <w:rsid w:val="007E0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4462"/>
  <w15:docId w15:val="{0258879A-B932-410A-9C64-66CDF6BE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rPr>
  </w:style>
  <w:style w:type="paragraph" w:styleId="Otsikko1">
    <w:name w:val="heading 1"/>
    <w:basedOn w:val="Normaali"/>
    <w:uiPriority w:val="9"/>
    <w:qFormat/>
    <w:pPr>
      <w:ind w:left="100"/>
      <w:jc w:val="both"/>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00"/>
    </w:pPr>
  </w:style>
  <w:style w:type="paragraph" w:styleId="Luettelokappale">
    <w:name w:val="List Paragraph"/>
    <w:basedOn w:val="Normaali"/>
    <w:uiPriority w:val="1"/>
    <w:qFormat/>
    <w:pPr>
      <w:ind w:left="820" w:hanging="360"/>
    </w:pPr>
  </w:style>
  <w:style w:type="paragraph" w:customStyle="1" w:styleId="TableParagraph">
    <w:name w:val="Table Paragraph"/>
    <w:basedOn w:val="Normaali"/>
    <w:uiPriority w:val="1"/>
    <w:qFormat/>
    <w:pPr>
      <w:spacing w:before="1" w:line="247"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4942</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Ojanen Kaisa</dc:creator>
  <cp:lastModifiedBy>Hagelberg Harriet</cp:lastModifiedBy>
  <cp:revision>2</cp:revision>
  <dcterms:created xsi:type="dcterms:W3CDTF">2024-04-05T11:18:00Z</dcterms:created>
  <dcterms:modified xsi:type="dcterms:W3CDTF">2024-04-08T09:44:00Z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PDF-XChange Standard (7.0 build 326.1) [GDI] [Windows 10 Enterprise x64 (Build 18363)]</vt:lpwstr>
  </property>
  <property fmtid="{D5CDD505-2E9C-101B-9397-08002B2CF9AE}" pid="4" name="CreatorTool">
    <vt:lpwstr>PDF-XChange Standard (7.0 build 326.1) [GDI] [Windows 10 Enterprise x64 (Build 18363)]</vt:lpwstr>
  </property>
  <property fmtid="{D5CDD505-2E9C-101B-9397-08002B2CF9AE}" pid="5" name="LastSaved">
    <vt:filetime>2024-04-05T00:00:00Z</vt:filetime>
  </property>
  <property fmtid="{D5CDD505-2E9C-101B-9397-08002B2CF9AE}" pid="6" name="Producer">
    <vt:lpwstr>PDF-XChange Standard (7.0 build 326.1) [GDI] [Windows 10 Enterprise x64 (Build 18363)]</vt:lpwstr>
  </property>
</Properties>
</file>